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A7" w:rsidRPr="005E43A7" w:rsidRDefault="005E43A7" w:rsidP="005E4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ECBB60C" wp14:editId="1813D090">
            <wp:extent cx="495935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3A7" w:rsidRPr="005E43A7" w:rsidRDefault="005E43A7" w:rsidP="005E4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43A7" w:rsidRPr="005E43A7" w:rsidRDefault="005E43A7" w:rsidP="005E4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43A7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5E43A7" w:rsidRPr="005E43A7" w:rsidRDefault="005E43A7" w:rsidP="005E4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43A7"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 РАЙОНА</w:t>
      </w:r>
    </w:p>
    <w:p w:rsidR="005E43A7" w:rsidRPr="005E43A7" w:rsidRDefault="005E43A7" w:rsidP="005E4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43A7" w:rsidRPr="005E43A7" w:rsidRDefault="005E43A7" w:rsidP="005E43A7">
      <w:pPr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 w:rsidRPr="005E43A7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8"/>
        <w:gridCol w:w="3108"/>
      </w:tblGrid>
      <w:tr w:rsidR="005E43A7" w:rsidRPr="005E43A7" w:rsidTr="006B6908">
        <w:tc>
          <w:tcPr>
            <w:tcW w:w="3249" w:type="dxa"/>
            <w:hideMark/>
          </w:tcPr>
          <w:p w:rsidR="005E43A7" w:rsidRPr="005E43A7" w:rsidRDefault="005E43A7" w:rsidP="005E43A7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</w:t>
            </w:r>
            <w:r w:rsidRPr="005E4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B570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07" w:type="dxa"/>
            <w:hideMark/>
          </w:tcPr>
          <w:p w:rsidR="005E43A7" w:rsidRPr="005E43A7" w:rsidRDefault="00614370" w:rsidP="005E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7" w:type="dxa"/>
            <w:hideMark/>
          </w:tcPr>
          <w:p w:rsidR="005E43A7" w:rsidRPr="005E43A7" w:rsidRDefault="005E43A7" w:rsidP="00B5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71/45</w:t>
            </w:r>
            <w:r w:rsidR="008578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E4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</w:tbl>
    <w:p w:rsidR="005E43A7" w:rsidRPr="005E43A7" w:rsidRDefault="005E43A7" w:rsidP="005E43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43A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5E43A7"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5E43A7" w:rsidRPr="005E43A7" w:rsidRDefault="005E43A7" w:rsidP="005E43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43A7" w:rsidRPr="005E43A7" w:rsidRDefault="005E43A7" w:rsidP="005E43A7">
      <w:pPr>
        <w:keepNext/>
        <w:keepLines/>
        <w:spacing w:after="0"/>
        <w:ind w:right="-1"/>
        <w:jc w:val="center"/>
        <w:outlineLvl w:val="3"/>
        <w:rPr>
          <w:rFonts w:ascii="Times New Roman" w:eastAsia="Times New Roman" w:hAnsi="Times New Roman"/>
          <w:i/>
          <w:color w:val="000000"/>
          <w:sz w:val="12"/>
          <w:szCs w:val="28"/>
          <w:lang w:eastAsia="ru-RU"/>
        </w:rPr>
      </w:pPr>
    </w:p>
    <w:p w:rsidR="005E43A7" w:rsidRDefault="005E43A7" w:rsidP="005E4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5637"/>
      </w:tblGrid>
      <w:tr w:rsidR="005E43A7" w:rsidTr="005E43A7">
        <w:trPr>
          <w:trHeight w:val="3687"/>
        </w:trPr>
        <w:tc>
          <w:tcPr>
            <w:tcW w:w="5637" w:type="dxa"/>
            <w:hideMark/>
          </w:tcPr>
          <w:p w:rsidR="005E43A7" w:rsidRDefault="005E43A7" w:rsidP="005E4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установлении объема сведений о кандидатах в депутаты муниципального комитета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представленных при их выдвижении, подлежащих доведению до сведения избирателей при проведении до</w:t>
            </w:r>
            <w:r w:rsidR="00712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полнительных    выборов депутатов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комитета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 третьего созыва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десятимандатному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округу, назначенных на 25 марта 2018 года</w:t>
            </w:r>
          </w:p>
        </w:tc>
      </w:tr>
    </w:tbl>
    <w:p w:rsidR="005E43A7" w:rsidRDefault="005E43A7" w:rsidP="005E43A7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5E43A7" w:rsidRDefault="005E43A7" w:rsidP="005E43A7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5E43A7" w:rsidRDefault="005E43A7" w:rsidP="005E43A7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5E43A7" w:rsidRDefault="005E43A7" w:rsidP="005E43A7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5E43A7" w:rsidRDefault="005E43A7" w:rsidP="005E43A7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5E43A7" w:rsidRDefault="005E43A7" w:rsidP="005E43A7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43A7" w:rsidRDefault="005E43A7" w:rsidP="005E43A7">
      <w:pPr>
        <w:spacing w:after="0" w:line="36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E43A7" w:rsidRDefault="005E43A7" w:rsidP="005E43A7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5E43A7" w:rsidRDefault="005E43A7" w:rsidP="005E43A7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3A7" w:rsidRDefault="005E43A7" w:rsidP="005E43A7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3A7" w:rsidRDefault="005E43A7" w:rsidP="005E43A7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3A7" w:rsidRDefault="005E43A7" w:rsidP="005E43A7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3A7" w:rsidRDefault="005E43A7" w:rsidP="005E43A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3A7" w:rsidRDefault="005E43A7" w:rsidP="005E43A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7 статьи 33 Федерального закона «Об основных гарантиях избирательных прав и права на участие в референдуме граждан Российской Федерации», частью 21 статьи 40 Избирательного кодекса Приморского края территориальная избирательная комиссия Михайловского  района</w:t>
      </w:r>
    </w:p>
    <w:p w:rsidR="005E43A7" w:rsidRDefault="005E43A7" w:rsidP="005E43A7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3A7" w:rsidRDefault="005E43A7" w:rsidP="005E43A7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5E43A7" w:rsidRDefault="005E43A7" w:rsidP="005E43A7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43A7" w:rsidRDefault="00B570BE" w:rsidP="00B570BE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E43A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объем сведений о кандидатах в депутаты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43A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43A7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избирательному округу, представленных при их выдвижении, подлежащих доведению до </w:t>
      </w:r>
      <w:r w:rsidR="005E43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сведения избирателей при проведении </w:t>
      </w:r>
      <w:r w:rsidR="0071299E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выборов депутатов</w:t>
      </w:r>
      <w:r w:rsidR="005E43A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43A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созыва </w:t>
      </w:r>
      <w:r w:rsidR="005E43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</w:t>
      </w:r>
      <w:r w:rsidR="005E43A7">
        <w:rPr>
          <w:rFonts w:ascii="Times New Roman" w:eastAsia="Times New Roman" w:hAnsi="Times New Roman"/>
          <w:sz w:val="28"/>
          <w:szCs w:val="28"/>
          <w:lang w:eastAsia="ru-RU"/>
        </w:rPr>
        <w:t>,  назначенных на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5марта  2018</w:t>
      </w:r>
      <w:r w:rsidR="005E43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(прилагается).</w:t>
      </w:r>
    </w:p>
    <w:p w:rsidR="005E43A7" w:rsidRDefault="00B570BE" w:rsidP="00B570BE">
      <w:pPr>
        <w:suppressAutoHyphens/>
        <w:spacing w:after="0" w:line="360" w:lineRule="auto"/>
        <w:ind w:left="851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143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57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570B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570BE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B570B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официальных сайтах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570BE">
        <w:rPr>
          <w:rFonts w:ascii="Times New Roman" w:eastAsia="Times New Roman" w:hAnsi="Times New Roman"/>
          <w:sz w:val="28"/>
          <w:szCs w:val="28"/>
          <w:lang w:eastAsia="ru-RU"/>
        </w:rPr>
        <w:t>Избирательной комиссии Приморского края и администрации Михайловского муниципального района в разделе «Территориальная избирательная комиссия Михайловского района»  в информационно-телекоммуникационной сети «Интернет».</w:t>
      </w:r>
    </w:p>
    <w:p w:rsidR="00B570BE" w:rsidRDefault="00B570BE" w:rsidP="00B570BE">
      <w:pPr>
        <w:suppressAutoHyphens/>
        <w:spacing w:after="0" w:line="360" w:lineRule="auto"/>
        <w:ind w:left="851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0BE" w:rsidRDefault="00B570BE" w:rsidP="00B570BE">
      <w:pPr>
        <w:suppressAutoHyphens/>
        <w:spacing w:after="0" w:line="360" w:lineRule="auto"/>
        <w:ind w:left="851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3A7" w:rsidRDefault="00B570BE" w:rsidP="005E43A7">
      <w:pPr>
        <w:keepNext/>
        <w:spacing w:after="0"/>
        <w:outlineLvl w:val="0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ab/>
        <w:t xml:space="preserve">                                    Н.С. Горбачева</w:t>
      </w:r>
    </w:p>
    <w:p w:rsidR="005E43A7" w:rsidRDefault="005E43A7" w:rsidP="005E43A7">
      <w:pPr>
        <w:spacing w:after="0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5E43A7" w:rsidRDefault="005E43A7" w:rsidP="005E43A7">
      <w:pPr>
        <w:spacing w:after="0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Се</w:t>
      </w:r>
      <w:r w:rsidR="00B570B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кретарь комиссии </w:t>
      </w:r>
      <w:r w:rsidR="00B570BE"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  <w:r w:rsidR="00B570BE"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  <w:r w:rsidR="00B570BE"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  <w:r w:rsidR="00B570BE"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  <w:r w:rsidR="00B570BE">
        <w:rPr>
          <w:rFonts w:ascii="Times New Roman" w:eastAsia="Times New Roman" w:hAnsi="Times New Roman"/>
          <w:bCs/>
          <w:sz w:val="28"/>
          <w:szCs w:val="24"/>
          <w:lang w:eastAsia="ru-RU"/>
        </w:rPr>
        <w:tab/>
        <w:t xml:space="preserve">                         В.В. Лукашенко</w:t>
      </w:r>
    </w:p>
    <w:p w:rsidR="005E43A7" w:rsidRDefault="005E43A7" w:rsidP="005E43A7">
      <w:pPr>
        <w:suppressAutoHyphens/>
        <w:spacing w:after="0" w:line="264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3A7" w:rsidRDefault="005E43A7" w:rsidP="005E43A7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650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4650"/>
      </w:tblGrid>
      <w:tr w:rsidR="005E43A7" w:rsidTr="005E43A7">
        <w:trPr>
          <w:trHeight w:val="1393"/>
        </w:trPr>
        <w:tc>
          <w:tcPr>
            <w:tcW w:w="4648" w:type="dxa"/>
          </w:tcPr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70BE" w:rsidRDefault="00B57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5E43A7" w:rsidRDefault="005E4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</w:t>
            </w:r>
          </w:p>
          <w:p w:rsidR="005E43A7" w:rsidRDefault="00B57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Михайловского </w:t>
            </w:r>
            <w:r w:rsidR="005E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  <w:p w:rsidR="005E43A7" w:rsidRDefault="00B57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 декабря  2017 года № 71/454</w:t>
            </w:r>
          </w:p>
        </w:tc>
      </w:tr>
    </w:tbl>
    <w:p w:rsidR="005E43A7" w:rsidRDefault="005E43A7" w:rsidP="005E43A7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3A7" w:rsidRDefault="005E43A7" w:rsidP="005E43A7">
      <w:pPr>
        <w:suppressAutoHyphens/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</w:p>
    <w:p w:rsidR="005E43A7" w:rsidRDefault="005E43A7" w:rsidP="005E43A7">
      <w:pPr>
        <w:suppressAutoHyphens/>
        <w:spacing w:after="0" w:line="264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о кандидатах в депутаты муниципального комитета </w:t>
      </w:r>
      <w:proofErr w:type="spellStart"/>
      <w:r w:rsidR="00B570BE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B57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B570B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представленных при их выдвижении, подлежащих доведению до сведения избир</w:t>
      </w:r>
      <w:r w:rsidR="00B570BE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ателей при проведении  </w:t>
      </w:r>
      <w:r w:rsidR="0071299E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 выборов депутатов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 w:rsidR="00B570BE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B57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  <w:r w:rsidR="00B570BE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созыва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57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70BE"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 w:rsidR="00B570BE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0BE">
        <w:rPr>
          <w:rFonts w:ascii="Times New Roman" w:eastAsia="Times New Roman" w:hAnsi="Times New Roman"/>
          <w:sz w:val="28"/>
          <w:szCs w:val="28"/>
          <w:lang w:eastAsia="ru-RU"/>
        </w:rPr>
        <w:t>назначенных  на 25 марта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5E43A7" w:rsidRDefault="005E43A7" w:rsidP="005E43A7">
      <w:pPr>
        <w:suppressAutoHyphens/>
        <w:spacing w:after="0" w:line="264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E43A7" w:rsidRDefault="005E43A7" w:rsidP="005E43A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отчество; 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занятий).</w:t>
      </w:r>
      <w:proofErr w:type="gramEnd"/>
    </w:p>
    <w:p w:rsidR="005E43A7" w:rsidRDefault="005E43A7" w:rsidP="005E43A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кандидат является депутатом и осуществляет свои полномочия на не постоянной основе – сведения об этом с указанием наименования соответствующего представительного органа.</w:t>
      </w:r>
    </w:p>
    <w:p w:rsidR="005E43A7" w:rsidRDefault="005E43A7" w:rsidP="005E43A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принадлежности к политической партии (иному общественному объединению) и своём статусе в этой политической партии (этом общественном объединении, если такие сведения указаны в заявлении о согласии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баллотироваться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E43A7" w:rsidRDefault="005E43A7" w:rsidP="005E43A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профессиональном образовании.</w:t>
      </w:r>
    </w:p>
    <w:p w:rsidR="005E43A7" w:rsidRDefault="005E43A7" w:rsidP="005E43A7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Сведения о судимости кандидата (при наличии). </w:t>
      </w:r>
    </w:p>
    <w:p w:rsidR="005E43A7" w:rsidRDefault="005E43A7" w:rsidP="005E43A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биографические данные кандидатов включаются сведения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наименования, если кандидат сам выдвинул свою кандидатуру – слово «самовыдвижение»).</w:t>
      </w:r>
    </w:p>
    <w:p w:rsidR="005E43A7" w:rsidRDefault="005E43A7" w:rsidP="005E43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E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F7E10"/>
    <w:multiLevelType w:val="hybridMultilevel"/>
    <w:tmpl w:val="A6D4B116"/>
    <w:lvl w:ilvl="0" w:tplc="7C9AB412">
      <w:start w:val="1"/>
      <w:numFmt w:val="decimal"/>
      <w:lvlText w:val="%1."/>
      <w:lvlJc w:val="left"/>
      <w:pPr>
        <w:ind w:left="1924" w:hanging="12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E4902"/>
    <w:multiLevelType w:val="hybridMultilevel"/>
    <w:tmpl w:val="19924192"/>
    <w:lvl w:ilvl="0" w:tplc="004E3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A7"/>
    <w:rsid w:val="005E43A7"/>
    <w:rsid w:val="00614370"/>
    <w:rsid w:val="006F7E93"/>
    <w:rsid w:val="0071299E"/>
    <w:rsid w:val="0085787F"/>
    <w:rsid w:val="00B5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3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3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2017-12-30T02:44:00Z</cp:lastPrinted>
  <dcterms:created xsi:type="dcterms:W3CDTF">2017-12-30T02:16:00Z</dcterms:created>
  <dcterms:modified xsi:type="dcterms:W3CDTF">2018-01-09T02:16:00Z</dcterms:modified>
</cp:coreProperties>
</file>